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7AB0D90F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</w:t>
      </w:r>
      <w:r w:rsidR="00AF5C2D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6383C442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</w:t>
      </w:r>
      <w:r w:rsidR="00AF5C2D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1A024F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57E6E446" w14:textId="7A21F76C" w:rsidR="007D78A8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鈴木祥平研究安全基金への寄付金の募集（継続）</w:t>
      </w:r>
    </w:p>
    <w:p w14:paraId="143EFF66" w14:textId="77777777" w:rsidR="006A3AFB" w:rsidRDefault="006A3AFB" w:rsidP="006A3AFB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of </w:t>
      </w:r>
      <w:r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4FD8B2A3" w14:textId="41DA31AA" w:rsidR="006A3AFB" w:rsidRDefault="006A3AFB" w:rsidP="006A3A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提案の学内公募 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F6A2F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A479207" w14:textId="77777777" w:rsidR="00AB7AB7" w:rsidRPr="007F6A2F" w:rsidRDefault="00AB7AB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Number of programs funded: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1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615201">
        <w:rPr>
          <w:rFonts w:ascii="ＭＳ Ｐゴシック" w:eastAsia="ＭＳ Ｐゴシック" w:hAnsi="ＭＳ Ｐゴシック" w:hint="eastAsia"/>
          <w:sz w:val="24"/>
          <w:szCs w:val="24"/>
        </w:rPr>
        <w:t>採択件数：</w:t>
      </w:r>
      <w:r>
        <w:rPr>
          <w:rFonts w:ascii="ＭＳ Ｐゴシック" w:eastAsia="ＭＳ Ｐゴシック" w:hAnsi="ＭＳ Ｐゴシック"/>
          <w:sz w:val="24"/>
          <w:szCs w:val="24"/>
        </w:rPr>
        <w:t>1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>件</w:t>
      </w:r>
    </w:p>
    <w:p w14:paraId="0F306698" w14:textId="5AEC72FB" w:rsidR="00AB7AB7" w:rsidRDefault="00AB7AB7" w:rsidP="00AB7AB7">
      <w:pPr>
        <w:ind w:left="600" w:hangingChars="250" w:hanging="6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addition to regular announcement of call for </w:t>
      </w:r>
      <w:r w:rsidR="00C01F32">
        <w:rPr>
          <w:rFonts w:ascii="ＭＳ Ｐゴシック" w:eastAsia="ＭＳ Ｐゴシック" w:hAnsi="ＭＳ Ｐゴシック"/>
          <w:sz w:val="24"/>
          <w:szCs w:val="24"/>
        </w:rPr>
        <w:t>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, </w:t>
      </w:r>
      <w:r w:rsidR="002D24CE">
        <w:rPr>
          <w:rFonts w:ascii="ＭＳ Ｐゴシック" w:eastAsia="ＭＳ Ｐゴシック" w:hAnsi="ＭＳ Ｐゴシック"/>
          <w:sz w:val="24"/>
          <w:szCs w:val="24"/>
        </w:rPr>
        <w:t xml:space="preserve">during the Safety Enhancement Month,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Dean of Faculty Affairs asked all faculty members to disseminate the information of the fund to their unit members, and the fund committee secretariat </w:t>
      </w:r>
      <w:r w:rsidR="00C30799">
        <w:rPr>
          <w:rFonts w:ascii="ＭＳ Ｐゴシック" w:eastAsia="ＭＳ Ｐゴシック" w:hAnsi="ＭＳ Ｐゴシック"/>
          <w:sz w:val="24"/>
          <w:szCs w:val="24"/>
        </w:rPr>
        <w:t xml:space="preserve">shared the information about the </w:t>
      </w:r>
      <w:r w:rsidR="00C01F32">
        <w:rPr>
          <w:rFonts w:ascii="ＭＳ Ｐゴシック" w:eastAsia="ＭＳ Ｐゴシック" w:hAnsi="ＭＳ Ｐゴシック"/>
          <w:sz w:val="24"/>
          <w:szCs w:val="24"/>
        </w:rPr>
        <w:t>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896B65">
        <w:rPr>
          <w:rFonts w:ascii="ＭＳ Ｐゴシック" w:eastAsia="ＭＳ Ｐゴシック" w:hAnsi="ＭＳ Ｐゴシック"/>
          <w:sz w:val="24"/>
          <w:szCs w:val="24"/>
        </w:rPr>
        <w:t xml:space="preserve">to the board of the </w:t>
      </w:r>
      <w:r>
        <w:rPr>
          <w:rFonts w:ascii="ＭＳ Ｐゴシック" w:eastAsia="ＭＳ Ｐゴシック" w:hAnsi="ＭＳ Ｐゴシック"/>
          <w:sz w:val="24"/>
          <w:szCs w:val="24"/>
        </w:rPr>
        <w:t>OIST Researchers Community (ORC)</w:t>
      </w:r>
      <w:r w:rsidR="00896B65"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0D39383F" w14:textId="1C703C77" w:rsidR="003A3EC4" w:rsidRPr="003A3EC4" w:rsidRDefault="00AB7AB7" w:rsidP="000B220B">
      <w:pPr>
        <w:ind w:leftChars="250" w:left="52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定期的な募集案内に加え、</w:t>
      </w:r>
      <w:r w:rsidR="002D24CE">
        <w:rPr>
          <w:rFonts w:ascii="ＭＳ Ｐゴシック" w:eastAsia="ＭＳ Ｐゴシック" w:hAnsi="ＭＳ Ｐゴシック" w:hint="eastAsia"/>
          <w:sz w:val="24"/>
          <w:szCs w:val="24"/>
        </w:rPr>
        <w:t>安全強化月間には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教員担当学監から全教員に研究ユニット内での基金</w:t>
      </w:r>
      <w:r w:rsidR="00A14B13">
        <w:rPr>
          <w:rFonts w:ascii="ＭＳ Ｐゴシック" w:eastAsia="ＭＳ Ｐゴシック" w:hAnsi="ＭＳ Ｐゴシック" w:hint="eastAsia"/>
          <w:sz w:val="24"/>
          <w:szCs w:val="24"/>
        </w:rPr>
        <w:t>についての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周知依頼を行った他、事務局からOIST研究者コミュニティ(</w:t>
      </w:r>
      <w:r>
        <w:rPr>
          <w:rFonts w:ascii="ＭＳ Ｐゴシック" w:eastAsia="ＭＳ Ｐゴシック" w:hAnsi="ＭＳ Ｐゴシック"/>
          <w:sz w:val="24"/>
          <w:szCs w:val="24"/>
        </w:rPr>
        <w:t>ORC)</w:t>
      </w:r>
      <w:r w:rsidR="00D12541">
        <w:rPr>
          <w:rFonts w:ascii="ＭＳ Ｐゴシック" w:eastAsia="ＭＳ Ｐゴシック" w:hAnsi="ＭＳ Ｐゴシック" w:hint="eastAsia"/>
          <w:sz w:val="24"/>
          <w:szCs w:val="24"/>
        </w:rPr>
        <w:t>の運営委員会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にも</w:t>
      </w:r>
      <w:r w:rsidR="00C30799">
        <w:rPr>
          <w:rFonts w:ascii="ＭＳ Ｐゴシック" w:eastAsia="ＭＳ Ｐゴシック" w:hAnsi="ＭＳ Ｐゴシック" w:hint="eastAsia"/>
          <w:sz w:val="24"/>
          <w:szCs w:val="24"/>
        </w:rPr>
        <w:t>学内公募の情報を共有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C899F90" w14:textId="5FD18626" w:rsidR="003A3EC4" w:rsidRPr="00EB45AC" w:rsidRDefault="003A3EC4" w:rsidP="00EB45AC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  <w:r w:rsidR="00EB45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EB45AC">
        <w:rPr>
          <w:rFonts w:ascii="ＭＳ Ｐゴシック" w:eastAsia="ＭＳ Ｐゴシック" w:hAnsi="ＭＳ Ｐゴシック"/>
          <w:sz w:val="24"/>
          <w:szCs w:val="24"/>
        </w:rPr>
        <w:t>/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756321" w14:textId="5776F319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Budget予算</w:t>
            </w:r>
          </w:p>
        </w:tc>
        <w:tc>
          <w:tcPr>
            <w:tcW w:w="1417" w:type="dxa"/>
          </w:tcPr>
          <w:p w14:paraId="24C07093" w14:textId="1FACFD28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5A7C0B49" w14:textId="69B03A3E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886ADE" w14:textId="72A9E9B8" w:rsidR="00F033D7" w:rsidRPr="003A3EC4" w:rsidRDefault="00F033D7" w:rsidP="00D328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3AF39352" w:rsidR="00F033D7" w:rsidRPr="003A3EC4" w:rsidRDefault="00C26788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6,312,108</w:t>
            </w:r>
          </w:p>
        </w:tc>
        <w:tc>
          <w:tcPr>
            <w:tcW w:w="1417" w:type="dxa"/>
          </w:tcPr>
          <w:p w14:paraId="3BF62990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86B9A6" w14:textId="37FBC395" w:rsidR="00F033D7" w:rsidRDefault="005C0A0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6,312,108</w:t>
            </w:r>
          </w:p>
        </w:tc>
        <w:tc>
          <w:tcPr>
            <w:tcW w:w="1657" w:type="dxa"/>
          </w:tcPr>
          <w:p w14:paraId="6E251AB2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CF484" w14:textId="207E1F65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1C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4257B">
        <w:trPr>
          <w:trHeight w:val="413"/>
        </w:trPr>
        <w:tc>
          <w:tcPr>
            <w:tcW w:w="3397" w:type="dxa"/>
          </w:tcPr>
          <w:p w14:paraId="6EB54A89" w14:textId="33390172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Income収入</w:t>
            </w:r>
          </w:p>
        </w:tc>
        <w:tc>
          <w:tcPr>
            <w:tcW w:w="1560" w:type="dxa"/>
          </w:tcPr>
          <w:p w14:paraId="6A1E4A4E" w14:textId="627BD71D" w:rsidR="00F033D7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F033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14:paraId="17DF1DCC" w14:textId="594CDD4A" w:rsidR="00F033D7" w:rsidRPr="00414174" w:rsidRDefault="006D2D9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110</w:t>
            </w:r>
            <w:r w:rsidR="00792009">
              <w:rPr>
                <w:rFonts w:ascii="ＭＳ Ｐゴシック" w:eastAsia="ＭＳ Ｐゴシック" w:hAnsi="ＭＳ Ｐゴシック"/>
                <w:sz w:val="24"/>
                <w:szCs w:val="24"/>
              </w:rPr>
              <w:t>,000</w:t>
            </w:r>
          </w:p>
        </w:tc>
        <w:tc>
          <w:tcPr>
            <w:tcW w:w="1657" w:type="dxa"/>
          </w:tcPr>
          <w:p w14:paraId="37DA8AB9" w14:textId="10BD449F" w:rsidR="00F033D7" w:rsidRPr="00414174" w:rsidRDefault="006F2DEC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+</w:t>
            </w:r>
            <w:r w:rsidR="00256FC3">
              <w:rPr>
                <w:rFonts w:ascii="ＭＳ Ｐゴシック" w:eastAsia="ＭＳ Ｐゴシック" w:hAnsi="ＭＳ Ｐゴシック"/>
                <w:sz w:val="24"/>
                <w:szCs w:val="24"/>
              </w:rPr>
              <w:t>10</w:t>
            </w:r>
            <w:r w:rsidR="00CD0680">
              <w:rPr>
                <w:rFonts w:ascii="ＭＳ Ｐゴシック" w:eastAsia="ＭＳ Ｐゴシック" w:hAnsi="ＭＳ Ｐゴシック"/>
                <w:sz w:val="24"/>
                <w:szCs w:val="24"/>
              </w:rPr>
              <w:t>,000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0A2CACCF" w14:textId="3F397A6B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6EEE3832" w14:textId="4FA8C591" w:rsidR="00F033D7" w:rsidRDefault="00A0257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2579">
              <w:rPr>
                <w:rFonts w:ascii="ＭＳ Ｐゴシック" w:eastAsia="ＭＳ Ｐゴシック" w:hAnsi="ＭＳ Ｐゴシック"/>
                <w:sz w:val="24"/>
                <w:szCs w:val="24"/>
              </w:rPr>
              <w:t>2,500,000</w:t>
            </w:r>
          </w:p>
        </w:tc>
        <w:tc>
          <w:tcPr>
            <w:tcW w:w="1417" w:type="dxa"/>
          </w:tcPr>
          <w:p w14:paraId="43EEBC71" w14:textId="6E1529F4" w:rsidR="00F033D7" w:rsidRPr="001D47B0" w:rsidRDefault="0074787B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8546FB">
              <w:rPr>
                <w:rFonts w:ascii="ＭＳ Ｐゴシック" w:eastAsia="ＭＳ Ｐゴシック" w:hAnsi="ＭＳ Ｐゴシック"/>
                <w:sz w:val="24"/>
                <w:szCs w:val="24"/>
              </w:rPr>
              <w:t>60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,498</w:t>
            </w:r>
          </w:p>
        </w:tc>
        <w:tc>
          <w:tcPr>
            <w:tcW w:w="1657" w:type="dxa"/>
          </w:tcPr>
          <w:p w14:paraId="38C012A5" w14:textId="2214257D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807CC4">
              <w:rPr>
                <w:rFonts w:ascii="ＭＳ Ｐゴシック" w:eastAsia="ＭＳ Ｐゴシック" w:hAnsi="ＭＳ Ｐゴシック"/>
                <w:sz w:val="24"/>
                <w:szCs w:val="24"/>
              </w:rPr>
              <w:t>2,239,502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704635BB" w:rsidR="00F033D7" w:rsidRPr="003A3EC4" w:rsidRDefault="00160ED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,912,108</w:t>
            </w:r>
          </w:p>
        </w:tc>
        <w:tc>
          <w:tcPr>
            <w:tcW w:w="1417" w:type="dxa"/>
          </w:tcPr>
          <w:p w14:paraId="71BC600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312C918" w14:textId="3E9AAFD6" w:rsidR="00F033D7" w:rsidRPr="001D47B0" w:rsidRDefault="00E469D0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469D0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30738E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256FC3">
              <w:rPr>
                <w:rFonts w:ascii="ＭＳ Ｐゴシック" w:eastAsia="ＭＳ Ｐゴシック" w:hAnsi="ＭＳ Ｐゴシック"/>
                <w:sz w:val="24"/>
                <w:szCs w:val="24"/>
              </w:rPr>
              <w:t>61</w:t>
            </w:r>
            <w:r w:rsidR="0030738E">
              <w:rPr>
                <w:rFonts w:ascii="ＭＳ Ｐゴシック" w:eastAsia="ＭＳ Ｐゴシック" w:hAnsi="ＭＳ Ｐゴシック"/>
                <w:sz w:val="24"/>
                <w:szCs w:val="24"/>
              </w:rPr>
              <w:t>,610</w:t>
            </w:r>
          </w:p>
        </w:tc>
        <w:tc>
          <w:tcPr>
            <w:tcW w:w="1657" w:type="dxa"/>
          </w:tcPr>
          <w:p w14:paraId="306FFA4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2FED4976" w:rsidR="00F033D7" w:rsidRPr="001D47B0" w:rsidRDefault="008E2BE8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+</w:t>
            </w:r>
            <w:r w:rsidR="00807CC4">
              <w:rPr>
                <w:rFonts w:ascii="ＭＳ Ｐゴシック" w:eastAsia="ＭＳ Ｐゴシック" w:hAnsi="ＭＳ Ｐゴシック"/>
                <w:sz w:val="24"/>
                <w:szCs w:val="24"/>
              </w:rPr>
              <w:t>2,249,502</w:t>
            </w:r>
          </w:p>
        </w:tc>
      </w:tr>
    </w:tbl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10C6CD5B" w:rsidR="00B56B25" w:rsidRPr="00727351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6A4977" w:rsidRPr="00727351">
        <w:rPr>
          <w:rFonts w:ascii="ＭＳ Ｐゴシック" w:eastAsia="ＭＳ Ｐゴシック" w:hAnsi="ＭＳ Ｐゴシック"/>
          <w:sz w:val="24"/>
          <w:szCs w:val="24"/>
        </w:rPr>
        <w:t>2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727351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>donation</w:t>
      </w:r>
      <w:r w:rsidR="0019648B" w:rsidRPr="00727351">
        <w:rPr>
          <w:rFonts w:ascii="ＭＳ Ｐゴシック" w:eastAsia="ＭＳ Ｐゴシック" w:hAnsi="ＭＳ Ｐゴシック"/>
          <w:sz w:val="24"/>
          <w:szCs w:val="24"/>
        </w:rPr>
        <w:t>s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. </w:t>
      </w:r>
      <w:r w:rsidR="006A4977" w:rsidRPr="00727351">
        <w:rPr>
          <w:rFonts w:ascii="ＭＳ Ｐゴシック" w:eastAsia="ＭＳ Ｐゴシック" w:hAnsi="ＭＳ Ｐゴシック"/>
          <w:sz w:val="24"/>
          <w:szCs w:val="24"/>
        </w:rPr>
        <w:t>450</w:t>
      </w:r>
      <w:r w:rsidR="000D7536" w:rsidRPr="00727351">
        <w:rPr>
          <w:rFonts w:ascii="ＭＳ Ｐゴシック" w:eastAsia="ＭＳ Ｐゴシック" w:hAnsi="ＭＳ Ｐゴシック"/>
          <w:sz w:val="24"/>
          <w:szCs w:val="24"/>
        </w:rPr>
        <w:t>yen is for commission fee</w:t>
      </w:r>
      <w:r w:rsidR="00DB5056" w:rsidRPr="00727351">
        <w:rPr>
          <w:rFonts w:ascii="ＭＳ Ｐゴシック" w:eastAsia="ＭＳ Ｐゴシック" w:hAnsi="ＭＳ Ｐゴシック"/>
          <w:sz w:val="24"/>
          <w:szCs w:val="24"/>
        </w:rPr>
        <w:t>s deducted</w:t>
      </w:r>
      <w:r w:rsidR="000D7536" w:rsidRPr="00727351">
        <w:rPr>
          <w:rFonts w:ascii="ＭＳ Ｐゴシック" w:eastAsia="ＭＳ Ｐゴシック" w:hAnsi="ＭＳ Ｐゴシック"/>
          <w:sz w:val="24"/>
          <w:szCs w:val="24"/>
        </w:rPr>
        <w:t xml:space="preserve"> to receive </w:t>
      </w:r>
      <w:r w:rsidR="00FA2CA2" w:rsidRPr="00727351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0D7536" w:rsidRPr="00727351">
        <w:rPr>
          <w:rFonts w:ascii="ＭＳ Ｐゴシック" w:eastAsia="ＭＳ Ｐゴシック" w:hAnsi="ＭＳ Ｐゴシック"/>
          <w:sz w:val="24"/>
          <w:szCs w:val="24"/>
        </w:rPr>
        <w:t>donations</w:t>
      </w:r>
      <w:r w:rsidR="00FE46CB" w:rsidRPr="00727351">
        <w:rPr>
          <w:rFonts w:ascii="ＭＳ Ｐゴシック" w:eastAsia="ＭＳ Ｐゴシック" w:hAnsi="ＭＳ Ｐゴシック"/>
          <w:sz w:val="24"/>
          <w:szCs w:val="24"/>
        </w:rPr>
        <w:t xml:space="preserve"> in the Expenditure</w:t>
      </w:r>
      <w:r w:rsidR="00DB5056" w:rsidRPr="00727351"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15B25B26" w14:textId="0794278E" w:rsidR="00941A3B" w:rsidRPr="00EB45AC" w:rsidRDefault="00B56B25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727351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6A4977" w:rsidRPr="0072735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8F044F" w:rsidRPr="00727351">
        <w:rPr>
          <w:rFonts w:ascii="ＭＳ Ｐゴシック" w:eastAsia="ＭＳ Ｐゴシック" w:hAnsi="ＭＳ Ｐゴシック" w:hint="eastAsia"/>
          <w:sz w:val="24"/>
          <w:szCs w:val="24"/>
        </w:rPr>
        <w:t>件の寄付があっ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た。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支出の内、</w:t>
      </w:r>
      <w:r w:rsidR="006A4977">
        <w:rPr>
          <w:rFonts w:ascii="ＭＳ Ｐゴシック" w:eastAsia="ＭＳ Ｐゴシック" w:hAnsi="ＭＳ Ｐゴシック" w:hint="eastAsia"/>
          <w:sz w:val="24"/>
          <w:szCs w:val="24"/>
        </w:rPr>
        <w:t>450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円は寄付金</w:t>
      </w:r>
      <w:r w:rsidR="002D24CE">
        <w:rPr>
          <w:rFonts w:ascii="ＭＳ Ｐゴシック" w:eastAsia="ＭＳ Ｐゴシック" w:hAnsi="ＭＳ Ｐゴシック" w:hint="eastAsia"/>
          <w:sz w:val="24"/>
          <w:szCs w:val="24"/>
        </w:rPr>
        <w:t>受入れ時の</w:t>
      </w:r>
      <w:r w:rsidR="005A426F">
        <w:rPr>
          <w:rFonts w:ascii="ＭＳ Ｐゴシック" w:eastAsia="ＭＳ Ｐゴシック" w:hAnsi="ＭＳ Ｐゴシック" w:hint="eastAsia"/>
          <w:sz w:val="24"/>
          <w:szCs w:val="24"/>
        </w:rPr>
        <w:t>送金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手数料</w:t>
      </w:r>
      <w:r w:rsidR="00DB505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941A3B" w:rsidRPr="00EB4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AAFE" w14:textId="77777777" w:rsidR="002E5D36" w:rsidRDefault="002E5D36" w:rsidP="006F74EB">
      <w:r>
        <w:separator/>
      </w:r>
    </w:p>
  </w:endnote>
  <w:endnote w:type="continuationSeparator" w:id="0">
    <w:p w14:paraId="6BACADA3" w14:textId="77777777" w:rsidR="002E5D36" w:rsidRDefault="002E5D36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BEEA7" w14:textId="77777777" w:rsidR="002E5D36" w:rsidRDefault="002E5D36" w:rsidP="006F74EB">
      <w:r>
        <w:separator/>
      </w:r>
    </w:p>
  </w:footnote>
  <w:footnote w:type="continuationSeparator" w:id="0">
    <w:p w14:paraId="34529310" w14:textId="77777777" w:rsidR="002E5D36" w:rsidRDefault="002E5D36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02246E62"/>
    <w:lvl w:ilvl="0" w:tplc="27B24AA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36E7D"/>
    <w:rsid w:val="000810B2"/>
    <w:rsid w:val="00086CE5"/>
    <w:rsid w:val="000873FB"/>
    <w:rsid w:val="000A0F91"/>
    <w:rsid w:val="000B220B"/>
    <w:rsid w:val="000C7D02"/>
    <w:rsid w:val="000D7536"/>
    <w:rsid w:val="00111861"/>
    <w:rsid w:val="001530E9"/>
    <w:rsid w:val="00160ED9"/>
    <w:rsid w:val="001746F1"/>
    <w:rsid w:val="001902C9"/>
    <w:rsid w:val="001903FD"/>
    <w:rsid w:val="0019648B"/>
    <w:rsid w:val="001C1EC5"/>
    <w:rsid w:val="001D47B0"/>
    <w:rsid w:val="001F4EEC"/>
    <w:rsid w:val="00220AF3"/>
    <w:rsid w:val="00252D6E"/>
    <w:rsid w:val="00256FC3"/>
    <w:rsid w:val="002642F3"/>
    <w:rsid w:val="0026762D"/>
    <w:rsid w:val="002D24CE"/>
    <w:rsid w:val="002E5D36"/>
    <w:rsid w:val="002F0682"/>
    <w:rsid w:val="003015AD"/>
    <w:rsid w:val="00304DC9"/>
    <w:rsid w:val="0030738E"/>
    <w:rsid w:val="00335327"/>
    <w:rsid w:val="00357149"/>
    <w:rsid w:val="003A3EC4"/>
    <w:rsid w:val="003B4E84"/>
    <w:rsid w:val="003C0339"/>
    <w:rsid w:val="003C20D8"/>
    <w:rsid w:val="00414174"/>
    <w:rsid w:val="00433E2E"/>
    <w:rsid w:val="00456A91"/>
    <w:rsid w:val="004833D1"/>
    <w:rsid w:val="00490601"/>
    <w:rsid w:val="004957D9"/>
    <w:rsid w:val="00496B2E"/>
    <w:rsid w:val="004B7DDD"/>
    <w:rsid w:val="004E5DC5"/>
    <w:rsid w:val="005006A3"/>
    <w:rsid w:val="005A426F"/>
    <w:rsid w:val="005C0A0E"/>
    <w:rsid w:val="005D41D4"/>
    <w:rsid w:val="00615201"/>
    <w:rsid w:val="00631E05"/>
    <w:rsid w:val="00637F42"/>
    <w:rsid w:val="00646B62"/>
    <w:rsid w:val="00671CF4"/>
    <w:rsid w:val="00685EE1"/>
    <w:rsid w:val="006A3AFB"/>
    <w:rsid w:val="006A4977"/>
    <w:rsid w:val="006B4AEF"/>
    <w:rsid w:val="006C7468"/>
    <w:rsid w:val="006D2D9E"/>
    <w:rsid w:val="006D5730"/>
    <w:rsid w:val="006E7548"/>
    <w:rsid w:val="006F2DEC"/>
    <w:rsid w:val="006F74EB"/>
    <w:rsid w:val="0070035A"/>
    <w:rsid w:val="00727351"/>
    <w:rsid w:val="0074261A"/>
    <w:rsid w:val="0074787B"/>
    <w:rsid w:val="00792009"/>
    <w:rsid w:val="007A3BF0"/>
    <w:rsid w:val="007A55A5"/>
    <w:rsid w:val="007D78A8"/>
    <w:rsid w:val="007F6A2F"/>
    <w:rsid w:val="00807CC4"/>
    <w:rsid w:val="00822D7B"/>
    <w:rsid w:val="00853C85"/>
    <w:rsid w:val="008546FB"/>
    <w:rsid w:val="008561CF"/>
    <w:rsid w:val="00880DAE"/>
    <w:rsid w:val="00885463"/>
    <w:rsid w:val="00896B65"/>
    <w:rsid w:val="008A3AC9"/>
    <w:rsid w:val="008B4DE7"/>
    <w:rsid w:val="008E2BE8"/>
    <w:rsid w:val="008F044F"/>
    <w:rsid w:val="008F19A1"/>
    <w:rsid w:val="009063CF"/>
    <w:rsid w:val="0091401C"/>
    <w:rsid w:val="009346E9"/>
    <w:rsid w:val="00941A3B"/>
    <w:rsid w:val="009C173B"/>
    <w:rsid w:val="009C2238"/>
    <w:rsid w:val="009E410B"/>
    <w:rsid w:val="009E4E44"/>
    <w:rsid w:val="00A02579"/>
    <w:rsid w:val="00A14B13"/>
    <w:rsid w:val="00A23F57"/>
    <w:rsid w:val="00A31131"/>
    <w:rsid w:val="00A73CFB"/>
    <w:rsid w:val="00A769AF"/>
    <w:rsid w:val="00AB62CF"/>
    <w:rsid w:val="00AB7AB7"/>
    <w:rsid w:val="00AC6688"/>
    <w:rsid w:val="00AC66AD"/>
    <w:rsid w:val="00AF5C2D"/>
    <w:rsid w:val="00B4257B"/>
    <w:rsid w:val="00B56B25"/>
    <w:rsid w:val="00B674D1"/>
    <w:rsid w:val="00BD4E9E"/>
    <w:rsid w:val="00BF4BAD"/>
    <w:rsid w:val="00BF541E"/>
    <w:rsid w:val="00C01F32"/>
    <w:rsid w:val="00C05B3E"/>
    <w:rsid w:val="00C24A9A"/>
    <w:rsid w:val="00C26788"/>
    <w:rsid w:val="00C30799"/>
    <w:rsid w:val="00C40F44"/>
    <w:rsid w:val="00C43208"/>
    <w:rsid w:val="00C52CAB"/>
    <w:rsid w:val="00CD0680"/>
    <w:rsid w:val="00CE36B8"/>
    <w:rsid w:val="00D12541"/>
    <w:rsid w:val="00D32875"/>
    <w:rsid w:val="00D36ECC"/>
    <w:rsid w:val="00D412CC"/>
    <w:rsid w:val="00D617F0"/>
    <w:rsid w:val="00D9746C"/>
    <w:rsid w:val="00DB42A5"/>
    <w:rsid w:val="00DB5056"/>
    <w:rsid w:val="00DE47A8"/>
    <w:rsid w:val="00E41A41"/>
    <w:rsid w:val="00E469D0"/>
    <w:rsid w:val="00E73182"/>
    <w:rsid w:val="00E8207A"/>
    <w:rsid w:val="00EB45AC"/>
    <w:rsid w:val="00ED08A2"/>
    <w:rsid w:val="00ED221A"/>
    <w:rsid w:val="00F033D7"/>
    <w:rsid w:val="00F100C2"/>
    <w:rsid w:val="00F103FC"/>
    <w:rsid w:val="00F20800"/>
    <w:rsid w:val="00F50FFB"/>
    <w:rsid w:val="00F753C8"/>
    <w:rsid w:val="00F954DD"/>
    <w:rsid w:val="00FA2CA2"/>
    <w:rsid w:val="00FB780C"/>
    <w:rsid w:val="00FD1DA6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2023-06-14T07:09:00Z</dcterms:created>
  <dcterms:modified xsi:type="dcterms:W3CDTF">2023-06-14T07:09:00Z</dcterms:modified>
</cp:coreProperties>
</file>